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ДЕЯТЕЛЬНОСТЬ</w:t>
      </w:r>
      <w:r>
        <w:rPr>
          <w:b/>
        </w:rPr>
      </w:r>
      <w:r>
        <w:rPr>
          <w:b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комиссии Межрегионального территориального управления Федеральной службы </w:t>
      </w:r>
      <w:r>
        <w:rPr>
          <w:rFonts w:eastAsia="Calibri"/>
          <w:b/>
          <w:lang w:eastAsia="en-US"/>
        </w:rPr>
        <w:t xml:space="preserve">по надзору в сфере транспорта </w:t>
      </w:r>
      <w:r>
        <w:rPr>
          <w:rFonts w:eastAsia="Calibri"/>
          <w:b/>
          <w:lang w:eastAsia="en-US"/>
        </w:rPr>
        <w:br/>
        <w:t xml:space="preserve">по Сибирскому федеральному округу </w:t>
      </w:r>
      <w:r>
        <w:rPr>
          <w:rFonts w:eastAsia="Calibri"/>
          <w:b/>
          <w:lang w:eastAsia="en-US"/>
        </w:rPr>
        <w:t xml:space="preserve">по соблюдению требований к служебному поведению</w:t>
      </w:r>
      <w:r>
        <w:rPr>
          <w:rFonts w:eastAsia="Calibri"/>
          <w:b/>
          <w:lang w:eastAsia="en-US"/>
        </w:rPr>
        <w:t xml:space="preserve"> федеральных государственных гражданских служащих и урегулированию конфликта интересов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both"/>
      </w:pPr>
      <w:r/>
      <w:r/>
    </w:p>
    <w:tbl>
      <w:tblPr>
        <w:tblStyle w:val="934"/>
        <w:tblW w:w="15735" w:type="dxa"/>
        <w:tblInd w:w="-459" w:type="dxa"/>
        <w:tblLook w:val="04A0" w:firstRow="1" w:lastRow="0" w:firstColumn="1" w:lastColumn="0" w:noHBand="0" w:noVBand="1"/>
      </w:tblPr>
      <w:tblGrid>
        <w:gridCol w:w="709"/>
        <w:gridCol w:w="2835"/>
        <w:gridCol w:w="12191"/>
      </w:tblGrid>
      <w:tr>
        <w:tblPrEx/>
        <w:trPr/>
        <w:tc>
          <w:tcPr>
            <w:shd w:val="clear" w:color="auto" w:fill="ffffff" w:themeFill="background1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2835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заседания Комиссии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12191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Рассмотренные вопросы, принятые решения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vAlign w:val="center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03.03.2023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рассмотреныуведомления</w:t>
            </w:r>
            <w: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/>
          </w:p>
          <w:p>
            <w:pPr>
              <w:jc w:val="both"/>
              <w:rPr>
                <w:szCs w:val="29"/>
              </w:rPr>
            </w:pPr>
            <w:r>
              <w:rPr>
                <w:szCs w:val="29"/>
              </w:rPr>
              <w:t xml:space="preserve">Комиссией установлено, что имеется личная </w:t>
            </w:r>
            <w:r>
              <w:rPr>
                <w:szCs w:val="29"/>
              </w:rPr>
              <w:t xml:space="preserve">заинтересованностьдвух</w:t>
            </w:r>
            <w:r>
              <w:rPr>
                <w:szCs w:val="29"/>
              </w:rPr>
              <w:t xml:space="preserve"> государственных гражданских служащих, которая мо</w:t>
            </w:r>
            <w:r>
              <w:rPr>
                <w:szCs w:val="29"/>
              </w:rPr>
              <w:t xml:space="preserve">жет привести к конфликту интересов, в </w:t>
            </w:r>
            <w:r>
              <w:rPr>
                <w:szCs w:val="29"/>
              </w:rPr>
              <w:t xml:space="preserve">связи</w:t>
            </w:r>
            <w:r>
              <w:rPr>
                <w:szCs w:val="29"/>
              </w:rPr>
              <w:t xml:space="preserve"> с чем Комиссией приняты следующие решения:</w:t>
            </w:r>
            <w:r>
              <w:rPr>
                <w:szCs w:val="29"/>
              </w:rPr>
            </w:r>
            <w:r>
              <w:rPr>
                <w:szCs w:val="29"/>
              </w:rPr>
            </w:r>
          </w:p>
          <w:p>
            <w:pPr>
              <w:jc w:val="both"/>
            </w:pPr>
            <w:r>
              <w:rPr>
                <w:szCs w:val="29"/>
              </w:rPr>
              <w:t xml:space="preserve">не привлекать гражданских служащих к проведению проверок, ведению административных дел в отношении определенных организаций.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17.03.2023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</w:pPr>
            <w:r>
              <w:t xml:space="preserve">На з</w:t>
            </w:r>
            <w:r>
              <w:t xml:space="preserve">аседании Комиссии рассмотрено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/>
          </w:p>
          <w:p>
            <w:pPr>
              <w:jc w:val="both"/>
              <w:rPr>
                <w:szCs w:val="29"/>
              </w:rPr>
            </w:pPr>
            <w:r>
              <w:rPr>
                <w:szCs w:val="29"/>
              </w:rPr>
              <w:t xml:space="preserve">Комиссией установлено, что имеется личная </w:t>
            </w:r>
            <w:r>
              <w:rPr>
                <w:szCs w:val="29"/>
              </w:rPr>
              <w:t xml:space="preserve">заинтересованностьодного</w:t>
            </w:r>
            <w:r>
              <w:rPr>
                <w:szCs w:val="29"/>
              </w:rPr>
              <w:t xml:space="preserve"> госуд</w:t>
            </w:r>
            <w:r>
              <w:rPr>
                <w:szCs w:val="29"/>
              </w:rPr>
              <w:t xml:space="preserve">арственного гражданского служащего, которая может привести к конфликту интересов, в </w:t>
            </w:r>
            <w:r>
              <w:rPr>
                <w:szCs w:val="29"/>
              </w:rPr>
              <w:t xml:space="preserve">связи</w:t>
            </w:r>
            <w:r>
              <w:rPr>
                <w:szCs w:val="29"/>
              </w:rPr>
              <w:t xml:space="preserve"> с чем Комиссией принято следующее решение:</w:t>
            </w:r>
            <w:r>
              <w:rPr>
                <w:szCs w:val="29"/>
              </w:rPr>
            </w:r>
            <w:r>
              <w:rPr>
                <w:szCs w:val="29"/>
              </w:rPr>
            </w:r>
          </w:p>
          <w:p>
            <w:pPr>
              <w:jc w:val="both"/>
            </w:pPr>
            <w:r>
              <w:rPr>
                <w:szCs w:val="29"/>
              </w:rPr>
              <w:t xml:space="preserve">не привлекать гражданского служащего  к проведению проверок, ведению административных дел в отношении определенных организа</w:t>
            </w:r>
            <w:r>
              <w:rPr>
                <w:szCs w:val="29"/>
              </w:rPr>
              <w:t xml:space="preserve">ций.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26.04.2023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</w:pPr>
            <w:r>
              <w:t xml:space="preserve">На заседании Комиссии рассмотрены:</w:t>
            </w:r>
            <w:r/>
          </w:p>
          <w:p>
            <w:pPr>
              <w:jc w:val="both"/>
            </w:pPr>
            <w:r>
              <w:t xml:space="preserve">- 2 заявления государственных гражданских служащих о невозможности по объективным причинам представить сведения о доходах, об имуществе и</w:t>
            </w:r>
            <w:r>
              <w:t xml:space="preserve"> обязательствах имущественного характера своих несовершеннолетних детей  (Комиссией в отношении 2 гражданских служащих приняты решения о том, что причины непредставления ими сведений за своих несовершеннолетних детей являются объективными и уважительными);</w:t>
            </w:r>
            <w:r/>
          </w:p>
          <w:p>
            <w:pPr>
              <w:jc w:val="both"/>
            </w:pPr>
            <w:r>
              <w:t xml:space="preserve">- 1 заявление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своего супруга (Комиссией в отношении гражданского служащего принято решен</w:t>
            </w:r>
            <w:r>
              <w:t xml:space="preserve">ие о </w:t>
            </w:r>
            <w:r>
              <w:t xml:space="preserve">том, что причина непредставления ею сведений за супруга неуважительна, в </w:t>
            </w:r>
            <w:r>
              <w:t xml:space="preserve">связи</w:t>
            </w:r>
            <w:r>
              <w:t xml:space="preserve"> с чем рекомендовано принять меры по представлению сведений в установленный законом срок);</w:t>
            </w:r>
            <w:r/>
          </w:p>
          <w:p>
            <w:pPr>
              <w:jc w:val="both"/>
            </w:pPr>
            <w:r>
              <w:t xml:space="preserve">- 1 уведомление организации о заключении трудового договора с гражданином, замещав</w:t>
            </w:r>
            <w:r>
              <w:t xml:space="preserve">шим должность государственной гражданской службы в территориальном органе Федеральной службы по надзору в сфере транспорта, правопреемником которого является МТУ </w:t>
            </w:r>
            <w:r>
              <w:t xml:space="preserve">Ространснадзора</w:t>
            </w:r>
            <w:r>
              <w:t xml:space="preserve"> по СФО. </w:t>
            </w:r>
            <w:r/>
          </w:p>
          <w:p>
            <w:pPr>
              <w:jc w:val="both"/>
            </w:pPr>
            <w:r>
              <w:t xml:space="preserve">Комиссией установлено, что трудоустройство бывшего гражданского служа</w:t>
            </w:r>
            <w:r>
              <w:t xml:space="preserve">щего в организацию, от которой поступило уведомление, сопряжено с нарушениями положений части 1 статьи 12 Федерального закона от 25.12.2008 № 273-ФЗ «О противодействии коррупции»,  </w:t>
            </w:r>
            <w:r/>
          </w:p>
          <w:p>
            <w:pPr>
              <w:jc w:val="both"/>
            </w:pPr>
            <w:r>
              <w:t xml:space="preserve">а также требований части 4 статьи 12 Федерального закона от 25.12.2008 № 2</w:t>
            </w:r>
            <w:r>
              <w:t xml:space="preserve">73-ФЗ и пункта 4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</w:t>
            </w:r>
            <w:r>
              <w:t xml:space="preserve">мативными правовыми актами Российской Федерации, утвержденных постановлением Правительства РФ от 21.01.2015 № 29).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4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16.05.2023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</w:pPr>
            <w:r>
              <w:t xml:space="preserve">На заседании Комиссии рассмотрено 1 </w:t>
            </w:r>
            <w:r>
              <w:t xml:space="preserve">обращениегражданина</w:t>
            </w:r>
            <w:r>
              <w:t xml:space="preserve">, замещавшего должность государственной граж</w:t>
            </w:r>
            <w:r>
              <w:t xml:space="preserve">данской службы, о даче согласия на замещение им должности в коммерческой организации, в отношении которой он осуществлял отдельные функции государственного управления.</w:t>
            </w:r>
            <w:r/>
          </w:p>
          <w:p>
            <w:pPr>
              <w:jc w:val="both"/>
            </w:pPr>
            <w:r>
              <w:t xml:space="preserve">Комиссией не установлено наличие выгод, преимуществ, преференций, полученных поднадзорно</w:t>
            </w:r>
            <w:r>
              <w:t xml:space="preserve">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С учетом всестороннего анализа обстоятельств, имеющих значение для вынесения решения, рассмотрев обращение гражданина, комиссия принимает решение дать ему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15.12.2023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</w:t>
            </w:r>
            <w:r>
              <w:t xml:space="preserve">а заседании Комиссии рассмотрены итоги декларационной кампании 2023 года в МТУ </w:t>
            </w:r>
            <w:r>
              <w:t xml:space="preserve">Ространснадзора</w:t>
            </w:r>
            <w:r>
              <w:t xml:space="preserve"> по СФО в соответствии с п.10 Плана мероприятий, направленных на усиления контроля работы по профилактике коррупционных правонарушений в территориальных управлени</w:t>
            </w:r>
            <w:r>
              <w:t xml:space="preserve">ях Федеральной службы по надзору в сфере транспорта.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установлено: 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1. Работа ОПК ИП по приему и дальнейшему анализу комплектов справок о доходах, расходах, об имуществе и обязательствах имущественного характера от государственных гражданских сл</w:t>
            </w:r>
            <w:r>
              <w:t xml:space="preserve">ужащих Управления была организована надлежащим образом.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2.Проведенные проверки в отношении 16 государственных гражданских служащих Управления </w:t>
            </w:r>
            <w:r>
              <w:t xml:space="preserve">организованы в соответствии с Положением о проверке достоверности и полноты сведений, представляемых гражданами, </w:t>
            </w:r>
            <w:r>
              <w:t xml:space="preserve"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РФ от 21 сентября 20</w:t>
            </w:r>
            <w:r>
              <w:t xml:space="preserve">09 г. N 1065,  и в соответствии с Федеральным законом</w:t>
            </w:r>
            <w:r>
              <w:t xml:space="preserve"> от 27 июля 2004 г. № 79-ФЗ "О государственной гражданской службе Российской Федерации".</w:t>
            </w:r>
            <w:r/>
          </w:p>
          <w:p>
            <w:pPr>
              <w:jc w:val="both"/>
            </w:pPr>
            <w:r>
              <w:t xml:space="preserve">3. В рамках декларационной кампании 2024 года, ОПК ИП довести до государственных гражданских служащих Управления и</w:t>
            </w:r>
            <w:r>
              <w:t xml:space="preserve">нформацию по заполнению справок о доходах, расходах, об имуществе и обязательствах имущественного характера, согласно методическим рекомендациям Министерства труда и социального развития РФ.  </w:t>
            </w:r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/>
          </w:tcPr>
          <w:p>
            <w:pPr>
              <w:jc w:val="center"/>
              <w:tabs>
                <w:tab w:val="left" w:pos="176" w:leader="none"/>
              </w:tabs>
            </w:pPr>
            <w:r>
              <w:rPr>
                <w:b/>
              </w:rPr>
              <w:t xml:space="preserve">2024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14.03.2024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рассматривались следующие вопросы: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1)  о не предоставлении государственным инспектором Управления уведомления о возникновении личной заинтересованности при исполнении должностных обязанностей, которая приводит или может привести к кон</w:t>
            </w:r>
            <w:r>
              <w:t xml:space="preserve">фликту интересов. Большинством голосов комиссия рекомендовала  начальнику Управления применить к гражданскому служащему дисциплинарное взыскание – «выговор».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2) заявление государственного гражданского служащего Управления о невозможности по объективным при</w:t>
            </w:r>
            <w:r>
              <w:t xml:space="preserve">чинам представить сведения о доходах, расходах, об имуществе и обязательствах имущественного характера на свою супругу. Рассмотрев заявление и представленные материалы, комиссия признала, что причина непредставления им сведений объективна и уважительна.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29.03.2024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рассматривалось </w:t>
            </w:r>
            <w:r>
              <w:t xml:space="preserve">уведомлениеорганизации</w:t>
            </w:r>
            <w:r>
              <w:t xml:space="preserve"> о заключении трудового договора с бывшим государственным гражданским служащим, замещавшим должность старшего государственного инспектора Енисейского линейног</w:t>
            </w:r>
            <w:r>
              <w:t xml:space="preserve">о отдела (</w:t>
            </w:r>
            <w:r>
              <w:t xml:space="preserve">г</w:t>
            </w:r>
            <w:r>
              <w:t xml:space="preserve">. Дудинка) Енисейского УГРМН </w:t>
            </w:r>
            <w:r>
              <w:t xml:space="preserve">Ространснадзора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не установлено наличие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</w:t>
            </w:r>
            <w:r>
              <w:t xml:space="preserve">ударственной гражданской службы.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С учетом всестороннего анализа обстоятельств, имеющих значение для вынесения решения, рассмотрев уведомление организации, комиссия принимает решение дать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</w:t>
            </w:r>
            <w:r>
              <w:t xml:space="preserve">ние Комиссии</w:t>
            </w:r>
            <w:r/>
          </w:p>
          <w:p>
            <w:r>
              <w:t xml:space="preserve">Дата – 08.04.2024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рассмотрено:</w:t>
            </w:r>
            <w:r/>
          </w:p>
          <w:p>
            <w:pPr>
              <w:numPr>
                <w:ilvl w:val="0"/>
                <w:numId w:val="15"/>
              </w:numPr>
              <w:ind w:left="0" w:firstLine="0"/>
              <w:jc w:val="both"/>
              <w:widowControl w:val="off"/>
            </w:pPr>
            <w:r>
              <w:t xml:space="preserve">1 уведомление организации о заключении трудового договора с гражданином, замещавшим должность государственной гражданской службы в МТУ </w:t>
            </w:r>
            <w:r>
              <w:t xml:space="preserve">Ространснадзора</w:t>
            </w:r>
            <w:r>
              <w:t xml:space="preserve"> по СФО.</w:t>
            </w:r>
            <w:r/>
          </w:p>
          <w:p>
            <w:pPr>
              <w:numPr>
                <w:ilvl w:val="0"/>
                <w:numId w:val="15"/>
              </w:numPr>
              <w:ind w:left="0" w:firstLine="34"/>
              <w:jc w:val="both"/>
              <w:widowControl w:val="off"/>
            </w:pPr>
            <w:r>
              <w:t xml:space="preserve">1 обращение гражданина</w:t>
            </w:r>
            <w:r>
              <w:t xml:space="preserve">, замещавшего должность государственной гражданской службы, о даче согласия на замещение им должности в коммерческой организации, в отношении которой он не осуществлял отдельные функции государственного управления.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По первому вопросу Комиссией не установл</w:t>
            </w:r>
            <w:r>
              <w:t xml:space="preserve">ено, что трудоустройство бывшего гражданского служащего в организацию, от которой поступило уведомление, нарушает положения части 1 статьи 12 Федерального закона от 25.12.2008 № 273-ФЗ «О противодействии коррупции».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По второму вопросу Комиссией не установ</w:t>
            </w:r>
            <w:r>
              <w:t xml:space="preserve">лено наличие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  <w:r/>
          </w:p>
          <w:p>
            <w:pPr>
              <w:ind w:left="34"/>
              <w:jc w:val="both"/>
              <w:widowControl w:val="off"/>
            </w:pPr>
            <w:r>
              <w:t xml:space="preserve">С учетом всестороннего анализа обстоятельств</w:t>
            </w:r>
            <w:r>
              <w:t xml:space="preserve">, имеющих значение для вынесения решения, рассмотрев обращение гражданина, комиссия принимает решение дать ему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07.05.2024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</w:t>
            </w:r>
            <w:r>
              <w:t xml:space="preserve">рассмотренообращение</w:t>
            </w:r>
            <w:r>
              <w:t xml:space="preserve"> </w:t>
            </w:r>
            <w:r>
              <w:rPr>
                <w:color w:val="000000" w:themeColor="text1"/>
              </w:rPr>
              <w:t xml:space="preserve">об оскорблении, а также нарушении этики </w:t>
            </w:r>
            <w:r>
              <w:rPr>
                <w:color w:val="000000" w:themeColor="text1"/>
              </w:rPr>
              <w:t xml:space="preserve">поведения</w:t>
            </w:r>
            <w:r>
              <w:t xml:space="preserve">государственной</w:t>
            </w:r>
            <w:r>
              <w:t xml:space="preserve"> гражданской служащей.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Факты, изложенные в обращении </w:t>
            </w:r>
            <w:r>
              <w:rPr>
                <w:color w:val="000000" w:themeColor="text1"/>
              </w:rPr>
              <w:t xml:space="preserve"> не подтвердились</w:t>
            </w:r>
            <w:r>
              <w:rPr>
                <w:color w:val="000000" w:themeColor="text1"/>
              </w:rPr>
              <w:t xml:space="preserve">. </w:t>
            </w:r>
            <w:r>
              <w:rPr>
                <w:color w:val="0d0d0d" w:themeColor="text1" w:themeTint="F2"/>
              </w:rPr>
              <w:t xml:space="preserve">Комиссия рекомендует заместителю начальника Управления  провести разъяснительную работу с подчиненными сотрудниками о н</w:t>
            </w:r>
            <w:r>
              <w:rPr>
                <w:color w:val="0d0d0d" w:themeColor="text1" w:themeTint="F2"/>
              </w:rPr>
              <w:t xml:space="preserve">еукоснительном соблюдении </w:t>
            </w:r>
            <w:r>
              <w:t xml:space="preserve">требовании Указа Президента Российской Федерации от 12 августа 2002 г. № 885 «Об утверждении  общих принципов служебного поведения государственных служащих»; приказа Федеральной службы по надзору в сфере транспорта от 11 февраля 2</w:t>
            </w:r>
            <w:r>
              <w:t xml:space="preserve">011 г. N АК-100фс "Об утверждении Кодекса этики и служебного поведения государственных гражданских служащих Федеральной службы по надзору в сфере транспорта" и не допускать подобных конфликтных ситуаций в будущем. В случае возникновения спорных ситуаций ис</w:t>
            </w:r>
            <w:r>
              <w:t xml:space="preserve">ключать эскалацию конфликта в коллективе. 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31.05.2024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рассмотрено:</w:t>
            </w:r>
            <w:r/>
          </w:p>
          <w:p>
            <w:pPr>
              <w:pStyle w:val="895"/>
              <w:numPr>
                <w:ilvl w:val="0"/>
                <w:numId w:val="16"/>
              </w:numPr>
              <w:ind w:left="34" w:firstLine="0"/>
              <w:jc w:val="both"/>
              <w:tabs>
                <w:tab w:val="left" w:pos="176" w:leader="none"/>
              </w:tabs>
            </w:pPr>
            <w:r>
              <w:t xml:space="preserve">2 обращения граждан, замещавших должности государственной гражданской </w:t>
            </w:r>
            <w:r>
              <w:t xml:space="preserve">службыв</w:t>
            </w:r>
            <w:r>
              <w:t xml:space="preserve"> МТУ </w:t>
            </w:r>
            <w:r>
              <w:t xml:space="preserve">Ространснадзора</w:t>
            </w:r>
            <w:r>
              <w:t xml:space="preserve"> по СФО, о даче согласия на замещение ими</w:t>
            </w:r>
            <w:r>
              <w:t xml:space="preserve"> должностей в коммерческих организациях, в отношении </w:t>
            </w:r>
            <w:r>
              <w:t xml:space="preserve">которыхони</w:t>
            </w:r>
            <w:r>
              <w:t xml:space="preserve"> не осуществляли отдельные функции государственного управления. </w:t>
            </w:r>
            <w:r/>
          </w:p>
          <w:p>
            <w:pPr>
              <w:pStyle w:val="895"/>
              <w:numPr>
                <w:ilvl w:val="0"/>
                <w:numId w:val="16"/>
              </w:numPr>
              <w:ind w:left="34" w:firstLine="0"/>
              <w:jc w:val="both"/>
              <w:tabs>
                <w:tab w:val="left" w:pos="176" w:leader="none"/>
              </w:tabs>
            </w:pPr>
            <w:r>
              <w:t xml:space="preserve">1 уведомление организации о заключении трудового договора с гражданином, замещавшим должность государственной гражданской службы</w:t>
            </w:r>
            <w:r>
              <w:t xml:space="preserve"> в МТУ </w:t>
            </w:r>
            <w:r>
              <w:t xml:space="preserve">Ространснадзора</w:t>
            </w:r>
            <w:r>
              <w:t xml:space="preserve"> по СФО.</w:t>
            </w:r>
            <w:r/>
          </w:p>
          <w:p>
            <w:pPr>
              <w:pStyle w:val="895"/>
              <w:ind w:left="34"/>
              <w:jc w:val="both"/>
              <w:tabs>
                <w:tab w:val="left" w:pos="176" w:leader="none"/>
              </w:tabs>
            </w:pPr>
            <w:r/>
            <w:r/>
          </w:p>
          <w:p>
            <w:pPr>
              <w:jc w:val="both"/>
            </w:pPr>
            <w:r>
              <w:t xml:space="preserve">По двум обращениям Комиссией не установлено наличие выгод, преимуществ, преференций, полученных поднадзорными организациями по сравнению с другими юридическими лицами при замещении вышеуказанными гражданами должностей госуда</w:t>
            </w:r>
            <w:r>
              <w:t xml:space="preserve">рственной гражданской службы.</w:t>
            </w:r>
            <w:r/>
          </w:p>
          <w:p>
            <w:pPr>
              <w:pStyle w:val="895"/>
              <w:ind w:left="34"/>
              <w:jc w:val="both"/>
              <w:tabs>
                <w:tab w:val="left" w:pos="176" w:leader="none"/>
              </w:tabs>
            </w:pPr>
            <w:r>
              <w:t xml:space="preserve">С учетом всестороннего анализа обстоятельств, имеющих значение для вынесения решения, рассмотрев обращения граждан, комиссия принимает решение дать </w:t>
            </w:r>
            <w:r>
              <w:t xml:space="preserve">имсогласие</w:t>
            </w:r>
            <w:r>
              <w:t xml:space="preserve"> на замещение должностей в коммерческих организациях.</w:t>
            </w:r>
            <w:r/>
          </w:p>
          <w:p>
            <w:pPr>
              <w:pStyle w:val="895"/>
              <w:ind w:left="34"/>
              <w:jc w:val="both"/>
              <w:tabs>
                <w:tab w:val="left" w:pos="176" w:leader="none"/>
              </w:tabs>
            </w:pPr>
            <w:r/>
            <w:r/>
          </w:p>
          <w:p>
            <w:pPr>
              <w:jc w:val="both"/>
            </w:pPr>
            <w:r>
              <w:t xml:space="preserve">По первому во</w:t>
            </w:r>
            <w:r>
              <w:t xml:space="preserve">просу Комиссией не установлено, что трудоустройство бывшего гражданского служащего в организацию, от которой поступило уведомление, нарушает положения части 1 статьи 12 Федерального закона от 25.12.2008 № 273-ФЗ «О противодействии коррупции».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02.08.2024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</w:t>
            </w:r>
            <w:r>
              <w:t xml:space="preserve">рассмотреноуведомление</w:t>
            </w:r>
            <w:r>
              <w:t xml:space="preserve"> организации о заключении трудового договора с гражданином, замещавшим должность государственной гражданской службы в МТУ </w:t>
            </w:r>
            <w:r>
              <w:t xml:space="preserve">Ространснадзора</w:t>
            </w:r>
            <w:r>
              <w:t xml:space="preserve"> по СФО.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не установлено нал</w:t>
            </w:r>
            <w:r>
              <w:t xml:space="preserve">ичие выгод, преимуществ, преференций, полученных поднадзорной организацией по сравнению с другими юридическими лицами при замещении вышеуказанным гражданином должности государственной гражданской службы.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С учетом всестороннего анализа обстоятельств, имеющи</w:t>
            </w:r>
            <w:r>
              <w:t xml:space="preserve">х значение для вынесения решения, рассмотрев уведомление организации, комиссия принимает решение дать согласие на замещение должности в коммерческой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09.10.2024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рассмотрено: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Два уведомления орг</w:t>
            </w:r>
            <w:r>
              <w:t xml:space="preserve">анизаций о заключении трудовых </w:t>
            </w:r>
            <w:r>
              <w:t xml:space="preserve">договоровс</w:t>
            </w:r>
            <w:r>
              <w:t xml:space="preserve"> двумя гражданами, замещавшими должности государственной гражданской службы в МТУ </w:t>
            </w:r>
            <w:r>
              <w:t xml:space="preserve">Ространснадзора</w:t>
            </w:r>
            <w:r>
              <w:t xml:space="preserve"> по СФО.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не установлено наличие выгод, преимуществ, преференций, полученных поднадзорными организациями по сравнению с другими юридическими лицами при замещении вышеуказанными гражданами должности государственной гражданской службы.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С учетом всестороннего</w:t>
            </w:r>
            <w:r>
              <w:t xml:space="preserve"> анализа обстоятельств, имеющих значение для вынесения решения, рассмотрев уведомления организаций, комиссия принимает решение дать согласия на замещение должностей двум гражданам  в данных</w:t>
            </w:r>
            <w:bookmarkStart w:id="0" w:name="_GoBack"/>
            <w:r/>
            <w:bookmarkEnd w:id="0"/>
            <w:r>
              <w:t xml:space="preserve">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835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</w:t>
            </w:r>
            <w:r>
              <w:rPr>
                <w:lang w:val="en-US" w:eastAsia="en-US"/>
              </w:rPr>
              <w:t xml:space="preserve">21</w:t>
            </w:r>
            <w:r>
              <w:rPr>
                <w:lang w:eastAsia="en-US"/>
              </w:rPr>
              <w:t xml:space="preserve">.</w:t>
            </w:r>
            <w:r>
              <w:rPr>
                <w:lang w:val="en-US" w:eastAsia="en-US"/>
              </w:rPr>
              <w:t xml:space="preserve">11</w:t>
            </w:r>
            <w:r>
              <w:rPr>
                <w:lang w:eastAsia="en-US"/>
              </w:rPr>
              <w:t xml:space="preserve">.2024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На заседании</w:t>
            </w:r>
            <w:r>
              <w:rPr>
                <w:lang w:eastAsia="en-US"/>
              </w:rPr>
              <w:t xml:space="preserve"> Комиссии рассмотрено: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1) Уведомление государственного инспектора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2) Уведомление о заключении трудового договора с</w:t>
            </w:r>
            <w:r>
              <w:rPr>
                <w:lang w:eastAsia="en-US"/>
              </w:rPr>
              <w:t xml:space="preserve"> гражданином, замещавшим должность федеральной государственной гражданской службы в МТУ </w:t>
            </w:r>
            <w:r>
              <w:rPr>
                <w:lang w:eastAsia="en-US"/>
              </w:rPr>
              <w:t xml:space="preserve">Ространснадзора</w:t>
            </w:r>
            <w:r>
              <w:rPr>
                <w:lang w:eastAsia="en-US"/>
              </w:rPr>
              <w:t xml:space="preserve"> по СФО.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firstLine="567"/>
              <w:jc w:val="both"/>
            </w:pPr>
            <w:r>
              <w:rPr>
                <w:lang w:eastAsia="en-US"/>
              </w:rPr>
              <w:t xml:space="preserve">По первому вопросу </w:t>
            </w:r>
            <w:r>
              <w:rPr>
                <w:lang w:eastAsia="en-US"/>
              </w:rPr>
              <w:t xml:space="preserve">Комиссией установлено наличие выгод, преимуществ, преференций, которые могут быть получены от юридических лиц при замещении гражданином должности государственной гражданской службы.</w:t>
            </w:r>
            <w:r/>
          </w:p>
          <w:p>
            <w:pPr>
              <w:ind w:firstLine="567"/>
              <w:jc w:val="both"/>
            </w:pPr>
            <w:r>
              <w:rPr>
                <w:lang w:eastAsia="en-US"/>
              </w:rPr>
              <w:t xml:space="preserve">С учетом всего вышеизложенного, рассмотрев уведомление, Комиссия приняла р</w:t>
            </w:r>
            <w:r>
              <w:rPr>
                <w:lang w:eastAsia="en-US"/>
              </w:rPr>
              <w:t xml:space="preserve">ешение не допускать его на проведение контрольных (надзорных) мероприятий, профилактических визитов, расследований транспортных происшествий в отношении данных организаций.</w:t>
            </w:r>
            <w:r/>
          </w:p>
          <w:p>
            <w:pPr>
              <w:jc w:val="both"/>
            </w:pPr>
            <w:r>
              <w:rPr>
                <w:lang w:eastAsia="en-US"/>
              </w:rPr>
              <w:t xml:space="preserve">        По второму вопросу Комиссия не усматривает конфликт интересов и приняла реш</w:t>
            </w:r>
            <w:r>
              <w:rPr>
                <w:lang w:eastAsia="en-US"/>
              </w:rPr>
              <w:t xml:space="preserve">ение дать согласие на трудоустройство бывшего государственного гражданского служащего.</w:t>
            </w:r>
            <w:r/>
          </w:p>
          <w:p>
            <w:pPr>
              <w:ind w:left="34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r>
              <w:rPr>
                <w:lang w:eastAsia="en-US"/>
              </w:rPr>
              <w:t xml:space="preserve">Дата – 13.</w:t>
            </w:r>
            <w:r>
              <w:rPr>
                <w:lang w:val="en-US" w:eastAsia="en-US"/>
              </w:rPr>
              <w:t xml:space="preserve">1</w:t>
            </w:r>
            <w:r>
              <w:rPr>
                <w:lang w:eastAsia="en-US"/>
              </w:rPr>
              <w:t xml:space="preserve">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tabs>
                <w:tab w:val="left" w:pos="176" w:leader="none"/>
              </w:tabs>
            </w:pPr>
            <w:r>
              <w:t xml:space="preserve">На заседании Комиссии рассмотрены итоги декларационной</w:t>
            </w:r>
            <w:r>
              <w:t xml:space="preserve"> кампании 2023 года в МТУ </w:t>
            </w:r>
            <w:r>
              <w:t xml:space="preserve">Ространснадзора</w:t>
            </w:r>
            <w:r>
              <w:t xml:space="preserve"> по СФО в соответствии с п.10 Плана мероприятий, направленных на усиления контроля работы по профилактике коррупционных правонарушений в территориальных управлениях Федеральной службы по надзору в сфере транспорта.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Комиссией установлено: 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1. Работа ОПК ИП по приему и дальнейшему анализу комплектов справок о доходах, расходах, об имуществе и обязательствах имущественного характера от государственных гражданских служащих Управления была организована надлежащим образо</w:t>
            </w:r>
            <w:r>
              <w:t xml:space="preserve">м.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>
              <w:t xml:space="preserve">2.Проведенные проверки в отношении 19 государственных гражданских служащих Управления организованы в соответствии с Положением о проверке достоверности и полноты сведений, представляемых гражданами, претендующими на замещение должностей федеральной гос</w:t>
            </w:r>
            <w:r>
              <w:t xml:space="preserve">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РФ от 21 сентября 2009 г. N 1065,  и в соответствии с Федеральным законом</w:t>
            </w:r>
            <w:r>
              <w:t xml:space="preserve"> от 27 июля 2004 г. № 79-ФЗ "О государственной гражданской службе Российской Федерации".</w:t>
            </w:r>
            <w:r/>
          </w:p>
          <w:p>
            <w:pPr>
              <w:jc w:val="both"/>
            </w:pPr>
            <w:r>
              <w:t xml:space="preserve">3. В рамках декларационной кампании 2024 года, ОПК ИП довести до государственных </w:t>
            </w:r>
            <w:r>
              <w:t xml:space="preserve">гражданских служащих Управления информацию по заполнению справок о доходах, расходах, </w:t>
            </w:r>
            <w:r>
              <w:t xml:space="preserve">об имуществе и обязательствах имущественного характера, согласно методическим рекомендациям Министерства труда и социального развития РФ.  </w:t>
            </w:r>
            <w:r/>
          </w:p>
          <w:p>
            <w:pPr>
              <w:jc w:val="both"/>
              <w:tabs>
                <w:tab w:val="left" w:pos="176" w:leader="none"/>
              </w:tabs>
            </w:pPr>
            <w:r/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/>
          </w:tcPr>
          <w:p>
            <w:pPr>
              <w:jc w:val="center"/>
              <w:tabs>
                <w:tab w:val="left" w:pos="176" w:leader="none"/>
              </w:tabs>
              <w:rPr>
                <w:b/>
              </w:rPr>
            </w:pPr>
            <w:r>
              <w:rPr>
                <w:b/>
              </w:rPr>
              <w:t xml:space="preserve">2025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r>
              <w:rPr>
                <w:lang w:eastAsia="en-US"/>
              </w:rPr>
              <w:t xml:space="preserve">Дата – 31.01.2025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ind w:firstLine="708"/>
              <w:jc w:val="both"/>
              <w:widowControl w:val="off"/>
            </w:pPr>
            <w:r>
              <w:t xml:space="preserve">Рассмотрение уведомления старшего государственного инспектор</w:t>
            </w:r>
            <w:r>
              <w:t xml:space="preserve">а ТОГАДН по Кемеровской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t xml:space="preserve">          С учетом всего вышеизложенного, рассмотрев уведомление, комиссией не ус</w:t>
            </w:r>
            <w:r>
              <w:t xml:space="preserve">тановлено фактов возникновения личной заинтересованности при исполнении должностных обязанностей, которая приводит или может привести к конфликту интересов.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tabs>
                <w:tab w:val="left" w:pos="176" w:leader="none"/>
              </w:tabs>
            </w:pPr>
            <w:r/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19.02.2025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jc w:val="both"/>
              <w:widowControl w:val="off"/>
            </w:pPr>
            <w:r>
              <w:t xml:space="preserve">1)</w:t>
            </w:r>
            <w:r>
              <w:t xml:space="preserve"> Рассмотрение уведомления о приеме бывшего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       С учетом полученного образования и профессионального опыта комиссия пришла к выводу, что решение о трудоустройстве продиктовано его профессиональным инт</w:t>
            </w:r>
            <w:r>
              <w:t xml:space="preserve">ересом и не связано с получением незаконных выгод.</w:t>
            </w:r>
            <w:r/>
          </w:p>
          <w:p>
            <w:pPr>
              <w:ind w:firstLine="567"/>
              <w:jc w:val="both"/>
            </w:pPr>
            <w:r>
              <w:t xml:space="preserve">С учетом всего вышеизложенного, рассмотрев уведомление, комиссия не усматривает конфликт интересов и приняла решение дать согласие на трудоустройство.</w:t>
            </w:r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jc w:val="both"/>
              <w:widowControl w:val="off"/>
            </w:pPr>
            <w:r>
              <w:t xml:space="preserve"> 2) Рассмотрение сведений об исключении конфликта инт</w:t>
            </w:r>
            <w:r>
              <w:t xml:space="preserve">ересов и </w:t>
            </w:r>
            <w:r>
              <w:t xml:space="preserve">аффилированности</w:t>
            </w:r>
            <w:r>
              <w:t xml:space="preserve"> лиц МТУ </w:t>
            </w:r>
            <w:r>
              <w:t xml:space="preserve">Ространснадзора</w:t>
            </w:r>
            <w:r>
              <w:t xml:space="preserve"> по СФО при заключении договора аренды мест для отстоя судов.</w:t>
            </w:r>
            <w:r/>
          </w:p>
          <w:p>
            <w:pPr>
              <w:jc w:val="both"/>
              <w:widowControl w:val="off"/>
            </w:pPr>
            <w:r/>
            <w:r/>
          </w:p>
          <w:p>
            <w:pPr>
              <w:ind w:firstLine="567"/>
              <w:jc w:val="both"/>
            </w:pPr>
            <w:r>
              <w:t xml:space="preserve">Комиссией не установлено наличие выгод, преференций, фактов возникновения личной заинтересованности при заключении договора аренды для отстоя су</w:t>
            </w:r>
            <w:r>
              <w:t xml:space="preserve">дов между МТУ </w:t>
            </w:r>
            <w:r>
              <w:t xml:space="preserve">Ространснадзора</w:t>
            </w:r>
            <w:r>
              <w:t xml:space="preserve"> по СФО и индивидуальным предпринимателем.</w:t>
            </w:r>
            <w:r/>
          </w:p>
          <w:p>
            <w:pPr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21.03.2025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 w:themeFill="background1"/>
            <w:tcW w:w="12191" w:type="dxa"/>
            <w:textDirection w:val="lrTb"/>
            <w:noWrap/>
          </w:tcPr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t xml:space="preserve">Рассмотрение уведомления о приеме бывшего федерального государственного гражданского служащего</w:t>
            </w:r>
            <w:r>
              <w:t xml:space="preserve">, замещавшего должность государственной гражданской службы государственного инспектора (</w:t>
            </w:r>
            <w:r>
              <w:t xml:space="preserve">г</w:t>
            </w:r>
            <w:r>
              <w:t xml:space="preserve">. Карасук) территориального отдела государственного автодорожного надзора по Новосибирской области.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567"/>
              <w:jc w:val="both"/>
            </w:pPr>
            <w:r>
              <w:t xml:space="preserve">С учетом всего вышеизложенного, рассмотрев уведомление, комиссия не</w:t>
            </w:r>
            <w:r>
              <w:t xml:space="preserve"> усматривает </w:t>
            </w:r>
            <w:r>
              <w:t xml:space="preserve">конфликт интересов и приняла решение дать согласие на трудоустройство. В качестве </w:t>
            </w:r>
            <w:r>
              <w:t xml:space="preserve">меры предотвращения возможности конфликта интересов</w:t>
            </w:r>
            <w:r>
              <w:t xml:space="preserve"> контрольные (надзорные) </w:t>
            </w:r>
            <w:r>
              <w:t xml:space="preserve">мероприятия </w:t>
            </w:r>
            <w:r>
              <w:t xml:space="preserve">в отношении данной организации осуществлять  инспекторами, дислоцирующими</w:t>
            </w:r>
            <w:r>
              <w:t xml:space="preserve">ся в других городах.</w:t>
            </w:r>
            <w:r/>
          </w:p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18.04.2025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jc w:val="both"/>
            </w:pPr>
            <w:r>
              <w:t xml:space="preserve">          На заседании Комиссии рассмотрено </w:t>
            </w:r>
            <w:r>
              <w:t xml:space="preserve">обращение</w:t>
            </w:r>
            <w:r>
              <w:t xml:space="preserve"> </w:t>
            </w:r>
            <w:r>
              <w:t xml:space="preserve">гражданина</w:t>
            </w:r>
            <w:r>
              <w:t xml:space="preserve">, замещавшего должность государственной гражданской службы, о даче согласия на замещение им должности в коммерческой организации.</w:t>
            </w:r>
            <w:r/>
          </w:p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t xml:space="preserve">С учетом всестороннего анализа обстоятельств, имеющих значение для вынесения решения, рассмотрев обращение гражданина, комиссия приняла решение дать ему согласие на замещение должности в коммерческой организации.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– 18.07.2025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t xml:space="preserve">Ра</w:t>
            </w:r>
            <w:r>
              <w:t xml:space="preserve">ссмотрение уведомления о приеме бывшего федерального государственного гражданского служащего, замещавшего должность государственной гражданской службы начальника территориального отдела государственного автодорожного надзора по Иркутской области.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567"/>
              <w:jc w:val="both"/>
            </w:pPr>
            <w:r>
              <w:t xml:space="preserve">С учетом </w:t>
            </w:r>
            <w:r>
              <w:t xml:space="preserve">всего вышеизложенного, рассмотрев уведомление, комиссия не усматривает конфликт интересов и приняла решение дать согласие на трудоустройство.</w:t>
            </w:r>
            <w:r/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- 21.08.2025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Рассмотрение вопроса о представлении </w:t>
            </w:r>
            <w:r>
              <w:t xml:space="preserve">федеральным государственным гражданским служащим</w:t>
            </w:r>
            <w:r>
              <w:rPr>
                <w:color w:val="000000"/>
              </w:rPr>
              <w:t xml:space="preserve"> недостоверных и неполных сведений по результатам проведенной проверки.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8"/>
              <w:jc w:val="both"/>
              <w:widowControl w:val="off"/>
            </w:pPr>
            <w:r>
              <w:rPr>
                <w:szCs w:val="29"/>
              </w:rPr>
              <w:t xml:space="preserve">Комиссией принято следующее решение:</w:t>
            </w:r>
            <w:r/>
          </w:p>
          <w:p>
            <w:pPr>
              <w:ind w:firstLine="708"/>
              <w:jc w:val="both"/>
              <w:widowControl w:val="off"/>
            </w:pPr>
            <w:r>
              <w:rPr>
                <w:color w:val="000000" w:themeColor="text1"/>
                <w:highlight w:val="white"/>
              </w:rPr>
              <w:t xml:space="preserve">-установить, что сведения, </w:t>
            </w:r>
            <w:r>
              <w:rPr>
                <w:color w:val="000000" w:themeColor="text1"/>
                <w:highlight w:val="white"/>
              </w:rPr>
              <w:t xml:space="preserve">представленные</w:t>
            </w:r>
            <w:r>
              <w:t xml:space="preserve">федеральным</w:t>
            </w:r>
            <w:r>
              <w:t xml:space="preserve"> государственным гражданским служащим </w:t>
            </w:r>
            <w:r>
              <w:rPr>
                <w:color w:val="000000" w:themeColor="text1"/>
                <w:highlight w:val="white"/>
              </w:rPr>
              <w:t xml:space="preserve">являются </w:t>
            </w:r>
            <w:r>
              <w:rPr>
                <w:color w:val="000000" w:themeColor="text1"/>
                <w:highlight w:val="white"/>
              </w:rPr>
              <w:t xml:space="preserve">недостоверными и неполными.</w:t>
            </w:r>
            <w:r/>
          </w:p>
          <w:p>
            <w:pPr>
              <w:ind w:firstLine="708"/>
              <w:jc w:val="both"/>
              <w:widowControl w:val="off"/>
            </w:pPr>
            <w:r>
              <w:t xml:space="preserve">-применить к федеральному государственному гражданскому служащему за неисполнение обязанностей, установленных в целях противодействия коррупции, дисциплинарное взыскание «выговор».</w:t>
            </w:r>
            <w:r/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- 19.09.2025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Рассмотрение уведомления о приеме бывшего федерального государственного гражданского служащего.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rPr>
                <w:szCs w:val="29"/>
              </w:rPr>
              <w:t xml:space="preserve">Комиссией принято следующее решение: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учетом всего вышеизложенного, рассмотрев уведомление, комиссия не усматривает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widowControl w:val="off"/>
            </w:pPr>
            <w:r>
              <w:rPr>
                <w:color w:val="000000" w:themeColor="text1"/>
              </w:rPr>
              <w:t xml:space="preserve">конфликт интересов и приняла решение дать с</w:t>
            </w:r>
            <w:r>
              <w:rPr>
                <w:color w:val="000000" w:themeColor="text1"/>
              </w:rPr>
              <w:t xml:space="preserve">огласие на трудоустройство.</w:t>
            </w:r>
            <w:r/>
          </w:p>
          <w:p>
            <w:pPr>
              <w:ind w:firstLine="708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- 24.09.2025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ind w:left="709"/>
              <w:jc w:val="both"/>
              <w:widowControl w:val="off"/>
            </w:pPr>
            <w:r>
              <w:t xml:space="preserve">1. </w:t>
            </w:r>
            <w:r>
              <w:t xml:space="preserve">Рассмотрение уведомления о приеме бывшего федерального государственного</w:t>
            </w:r>
            <w:r/>
          </w:p>
          <w:p>
            <w:pPr>
              <w:jc w:val="both"/>
              <w:widowControl w:val="off"/>
            </w:pPr>
            <w:r>
              <w:t xml:space="preserve">гражданского служащего.</w:t>
            </w:r>
            <w:r/>
          </w:p>
          <w:p>
            <w:pPr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Рассмотрение вопроса о предоставлении недостоверных и неполных сведений </w:t>
            </w:r>
            <w:r>
              <w:rPr>
                <w:color w:val="000000"/>
              </w:rPr>
              <w:t xml:space="preserve">по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 xml:space="preserve">результатам проверки, проведенной </w:t>
            </w:r>
            <w:r>
              <w:t xml:space="preserve">в отношении федерального государственного гражданского служащего</w:t>
            </w:r>
            <w:r>
              <w:rPr>
                <w:color w:val="000000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 xml:space="preserve">Комиссией принято следующее решение: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95"/>
              <w:numPr>
                <w:ilvl w:val="0"/>
                <w:numId w:val="25"/>
              </w:numPr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Рассмотрев уведомление, комиссия не усматривает конфликт интересов и приняла решение дать согласие на трудоустройство.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709"/>
              <w:jc w:val="both"/>
              <w:rPr>
                <w:color w:val="000000" w:themeColor="text1"/>
                <w:highlight w:val="white"/>
              </w:rPr>
            </w:pPr>
            <w:r>
              <w:t xml:space="preserve">2. С учетом всего вышеизложенного, </w:t>
            </w:r>
            <w:r>
              <w:rPr>
                <w:color w:val="000000" w:themeColor="text1"/>
                <w:highlight w:val="white"/>
              </w:rPr>
              <w:t xml:space="preserve">установлено, что сведения, представленные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федеральнымгосударственнымгражданскимслужащим</w:t>
            </w:r>
            <w:r>
              <w:t xml:space="preserve"> Управления</w:t>
            </w:r>
            <w:r>
              <w:rPr>
                <w:color w:val="000000" w:themeColor="text1"/>
                <w:highlight w:val="white"/>
              </w:rPr>
              <w:t xml:space="preserve"> в соответствии </w:t>
            </w:r>
            <w:r>
              <w:t xml:space="preserve">с подпунктом «б» пункта 22 Положения о комиссиях по соблюдению требований к служебному поведению федеральных государственных служащих и урегулированию </w:t>
            </w:r>
            <w:r>
              <w:t xml:space="preserve">конфликта интересов, утвержденного Указом Президента РФ от 01.07.2010 №821 </w:t>
            </w:r>
            <w:r>
              <w:rPr>
                <w:color w:val="000000" w:themeColor="text1"/>
                <w:highlight w:val="white"/>
              </w:rPr>
              <w:t xml:space="preserve">являются</w:t>
            </w:r>
            <w:r>
              <w:rPr>
                <w:color w:val="000000" w:themeColor="text1"/>
                <w:highlight w:val="white"/>
              </w:rPr>
              <w:t xml:space="preserve"> недостоверными и непо</w:t>
            </w:r>
            <w:r>
              <w:rPr>
                <w:color w:val="000000" w:themeColor="text1"/>
                <w:highlight w:val="white"/>
              </w:rPr>
              <w:t xml:space="preserve">лными.</w:t>
            </w:r>
            <w:r>
              <w:t xml:space="preserve"> Рекомендовано направить </w:t>
            </w:r>
            <w:r>
              <w:rPr>
                <w:color w:val="000000"/>
                <w:highlight w:val="white"/>
              </w:rPr>
              <w:t xml:space="preserve">материалы проверки  в органы прокуратуры Российской Федерации.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- 03.10.2025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ind w:firstLine="709"/>
              <w:jc w:val="both"/>
              <w:widowControl w:val="off"/>
            </w:pPr>
            <w:r>
              <w:t xml:space="preserve">Рассмотрение уведомления о приеме бывшего федерального государственного гражданского служащего.</w:t>
            </w:r>
            <w:r/>
          </w:p>
          <w:p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 xml:space="preserve">Комиссией принято следующ</w:t>
            </w:r>
            <w:r>
              <w:rPr>
                <w:szCs w:val="29"/>
              </w:rPr>
              <w:t xml:space="preserve">ее решение: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учетом всего вышеизложенного, рассмотрев уведомление, комиссия не усматривает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конфликт интересов и приняла решение дать согласие на трудоустройство.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lang w:val="en-US"/>
              </w:rPr>
              <w:t xml:space="preserve">10</w:t>
            </w:r>
            <w:r/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- 07.11.2025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1</w:t>
            </w:r>
            <w:r>
              <w:rPr>
                <w:color w:val="000000" w:themeColor="text1"/>
                <w:highlight w:val="white"/>
              </w:rPr>
              <w:t xml:space="preserve">. </w:t>
            </w:r>
            <w:r>
              <w:rPr>
                <w:color w:val="000000" w:themeColor="text1"/>
                <w:highlight w:val="white"/>
              </w:rPr>
              <w:t xml:space="preserve">Рассмотрение уведомления о приеме бывшего федерального государственного гражданского служащего.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2</w:t>
            </w:r>
            <w:r>
              <w:rPr>
                <w:color w:val="000000" w:themeColor="text1"/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  <w:t xml:space="preserve">Рассмотрение уведомления о приеме бывшего федерального государственного гражданского служащего.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 xml:space="preserve">Комиссией принято следующее решение: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t xml:space="preserve">1. </w:t>
            </w:r>
            <w:r>
              <w:rPr>
                <w:color w:val="000000" w:themeColor="text1"/>
              </w:rPr>
              <w:t xml:space="preserve">С учетом всего вышеиз</w:t>
            </w:r>
            <w:r>
              <w:rPr>
                <w:color w:val="000000" w:themeColor="text1"/>
              </w:rPr>
              <w:t xml:space="preserve">ложенного, рассмотрев уведомление, комиссия не усматривает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конфликт интересов и приняла решение дать согласие на трудоустройство.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t xml:space="preserve">2. </w:t>
            </w:r>
            <w:r>
              <w:rPr>
                <w:color w:val="000000" w:themeColor="text1"/>
              </w:rPr>
              <w:t xml:space="preserve">С учетом всего вышеизложенного, рассмотрев уведомление, комиссия не усматривает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конфликт интересов и </w:t>
            </w:r>
            <w:r>
              <w:rPr>
                <w:color w:val="000000" w:themeColor="text1"/>
              </w:rPr>
              <w:t xml:space="preserve">приняла решение дать согласие на трудоустройство.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709"/>
              <w:jc w:val="both"/>
              <w:widowControl w:val="off"/>
            </w:pPr>
            <w:r/>
            <w:r/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</w:t>
            </w:r>
            <w:r>
              <w:rPr>
                <w:lang w:eastAsia="en-US"/>
              </w:rPr>
              <w:t xml:space="preserve">2</w:t>
            </w:r>
            <w:r>
              <w:rPr>
                <w:lang w:eastAsia="en-US"/>
              </w:rPr>
              <w:t xml:space="preserve">8</w:t>
            </w:r>
            <w:r>
              <w:rPr>
                <w:lang w:eastAsia="en-US"/>
              </w:rPr>
              <w:t xml:space="preserve">.11.2025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1</w:t>
            </w:r>
            <w:r>
              <w:rPr>
                <w:color w:val="000000" w:themeColor="text1"/>
                <w:highlight w:val="white"/>
              </w:rPr>
              <w:t xml:space="preserve">. </w:t>
            </w:r>
            <w:r>
              <w:t xml:space="preserve">Рассмотрение уведомления государственного инспектор</w:t>
            </w:r>
            <w:r>
              <w:t xml:space="preserve">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 xml:space="preserve">2</w:t>
            </w:r>
            <w:r>
              <w:rPr>
                <w:color w:val="000000" w:themeColor="text1"/>
                <w:highlight w:val="white"/>
              </w:rPr>
              <w:t xml:space="preserve">.</w:t>
            </w:r>
            <w:r>
              <w:rPr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  <w:t xml:space="preserve">Рассмотрение уведомления о приеме бывшего федерального государственного гражданского служащего.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 xml:space="preserve">Комиссией принято следующее решение: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t xml:space="preserve">1. </w:t>
            </w:r>
            <w:r>
              <w:t xml:space="preserve">П</w:t>
            </w:r>
            <w:r>
              <w:t xml:space="preserve">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Комиссия рекомендует гражданскому служащему и руководителю управления принять меры по недопущению возникн</w:t>
            </w:r>
            <w:r>
              <w:t xml:space="preserve">овения конфликта интересов.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567"/>
              <w:jc w:val="both"/>
              <w:widowControl w:val="off"/>
              <w:rPr>
                <w:color w:val="000000" w:themeColor="text1"/>
              </w:rPr>
            </w:pPr>
            <w:r>
              <w:t xml:space="preserve">2. </w:t>
            </w:r>
            <w:r>
              <w:rPr>
                <w:color w:val="000000" w:themeColor="text1"/>
              </w:rPr>
              <w:t xml:space="preserve">С учетом всего вышеизложенного, рассмотрев уведомление, комиссия не усматривает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конфликт интересов и </w:t>
            </w:r>
            <w:r>
              <w:rPr>
                <w:color w:val="000000" w:themeColor="text1"/>
              </w:rPr>
              <w:t xml:space="preserve">приняла решение дать согласие на трудоустройство.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shd w:val="clear" w:color="ffffff" w:fill="ffffff" w:themeFill="background1"/>
            <w:tcW w:w="15735" w:type="dxa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bCs/>
                <w:color w:val="000000" w:themeColor="text1"/>
                <w:highlight w:val="none"/>
              </w:rPr>
              <w:t xml:space="preserve">2026</w:t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 w:themeFill="background1"/>
            <w:tcW w:w="709" w:type="dxa"/>
            <w:vMerge w:val="restart"/>
            <w:textDirection w:val="lrTb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 w:themeFill="background1"/>
            <w:tcW w:w="2835" w:type="dxa"/>
            <w:vMerge w:val="restart"/>
            <w:textDirection w:val="lrTb"/>
            <w:noWrap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Комиссии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- </w:t>
            </w:r>
            <w:r>
              <w:rPr>
                <w:lang w:eastAsia="en-US"/>
              </w:rPr>
              <w:t xml:space="preserve">04</w:t>
            </w:r>
            <w:r>
              <w:rPr>
                <w:lang w:eastAsia="en-US"/>
              </w:rPr>
              <w:t xml:space="preserve">.06.2026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 w:themeFill="background1"/>
            <w:tcW w:w="12191" w:type="dxa"/>
            <w:vMerge w:val="restart"/>
            <w:textDirection w:val="lrTb"/>
            <w:noWrap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гражданского служащего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возникновении личной заинтересованности при исполнении обязанностей, которая приводит или может привести к конфликту интересов.</w:t>
            </w:r>
            <w:r/>
            <w:r/>
            <w:r>
              <w:rPr>
                <w:color w:val="000000" w:themeColor="text1"/>
              </w:rPr>
            </w:r>
          </w:p>
          <w:p>
            <w:pPr>
              <w:ind w:firstLine="567"/>
              <w:jc w:val="both"/>
              <w:rPr>
                <w:color w:val="000000" w:themeColor="text1"/>
              </w:rPr>
            </w:pPr>
            <w:r>
              <w:rPr>
                <w:szCs w:val="29"/>
              </w:rPr>
              <w:t xml:space="preserve">Комиссией принято следующее решение: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none"/>
              </w:rPr>
              <w:t xml:space="preserve">Комиссия усматривает конфликт интересов и предлагает передать полномочия государственного гражданского служащего вышестоящему руководству.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ind w:left="-1276"/>
        <w:jc w:val="both"/>
      </w:pPr>
      <w:r/>
      <w:r/>
    </w:p>
    <w:sectPr>
      <w:footnotePr/>
      <w:endnotePr/>
      <w:type w:val="nextPage"/>
      <w:pgSz w:w="16839" w:h="11907" w:orient="landscape"/>
      <w:pgMar w:top="426" w:right="709" w:bottom="567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2"/>
      <w:numFmt w:val="lowerRoman"/>
      <w:isLgl w:val="false"/>
      <w:suff w:val="tab"/>
      <w:lvlText w:val="(%1)"/>
      <w:lvlJc w:val="left"/>
      <w:pPr>
        <w:ind w:left="1425" w:hanging="885"/>
        <w:tabs>
          <w:tab w:val="num" w:pos="1425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pStyle w:val="922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Статья %1."/>
      <w:lvlJc w:val="left"/>
      <w:pPr>
        <w:ind w:left="284" w:hanging="284"/>
        <w:tabs>
          <w:tab w:val="num" w:pos="284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23"/>
  </w:num>
  <w:num w:numId="5">
    <w:abstractNumId w:val="2"/>
  </w:num>
  <w:num w:numId="6">
    <w:abstractNumId w:val="7"/>
  </w:num>
  <w:num w:numId="7">
    <w:abstractNumId w:val="19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6"/>
  </w:num>
  <w:num w:numId="12">
    <w:abstractNumId w:val="16"/>
  </w:num>
  <w:num w:numId="13">
    <w:abstractNumId w:val="8"/>
  </w:num>
  <w:num w:numId="14">
    <w:abstractNumId w:val="11"/>
  </w:num>
  <w:num w:numId="15">
    <w:abstractNumId w:val="9"/>
  </w:num>
  <w:num w:numId="16">
    <w:abstractNumId w:val="25"/>
  </w:num>
  <w:num w:numId="17">
    <w:abstractNumId w:val="13"/>
  </w:num>
  <w:num w:numId="18">
    <w:abstractNumId w:val="4"/>
  </w:num>
  <w:num w:numId="19">
    <w:abstractNumId w:val="28"/>
  </w:num>
  <w:num w:numId="20">
    <w:abstractNumId w:val="3"/>
  </w:num>
  <w:num w:numId="21">
    <w:abstractNumId w:val="27"/>
  </w:num>
  <w:num w:numId="22">
    <w:abstractNumId w:val="15"/>
  </w:num>
  <w:num w:numId="23">
    <w:abstractNumId w:val="18"/>
  </w:num>
  <w:num w:numId="24">
    <w:abstractNumId w:val="22"/>
  </w:num>
  <w:num w:numId="25">
    <w:abstractNumId w:val="6"/>
  </w:num>
  <w:num w:numId="26">
    <w:abstractNumId w:val="5"/>
  </w:num>
  <w:num w:numId="27">
    <w:abstractNumId w:val="1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Title Char"/>
    <w:basedOn w:val="717"/>
    <w:link w:val="736"/>
    <w:uiPriority w:val="10"/>
    <w:rPr>
      <w:sz w:val="48"/>
      <w:szCs w:val="48"/>
    </w:rPr>
  </w:style>
  <w:style w:type="character" w:styleId="713">
    <w:name w:val="Subtitle Char"/>
    <w:basedOn w:val="717"/>
    <w:link w:val="738"/>
    <w:uiPriority w:val="11"/>
    <w:rPr>
      <w:sz w:val="24"/>
      <w:szCs w:val="24"/>
    </w:rPr>
  </w:style>
  <w:style w:type="character" w:styleId="714">
    <w:name w:val="Quote Char"/>
    <w:link w:val="740"/>
    <w:uiPriority w:val="29"/>
    <w:rPr>
      <w:i/>
    </w:rPr>
  </w:style>
  <w:style w:type="character" w:styleId="715">
    <w:name w:val="Intense Quote Char"/>
    <w:link w:val="742"/>
    <w:uiPriority w:val="30"/>
    <w:rPr>
      <w:i/>
    </w:rPr>
  </w:style>
  <w:style w:type="paragraph" w:styleId="716" w:default="1">
    <w:name w:val="Normal"/>
    <w:qFormat/>
    <w:rPr>
      <w:sz w:val="28"/>
      <w:szCs w:val="28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link w:val="88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link w:val="88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17"/>
    <w:link w:val="888"/>
    <w:uiPriority w:val="9"/>
    <w:rPr>
      <w:rFonts w:ascii="Arial" w:hAnsi="Arial" w:eastAsia="Arial" w:cs="Arial"/>
      <w:sz w:val="30"/>
      <w:szCs w:val="30"/>
    </w:rPr>
  </w:style>
  <w:style w:type="paragraph" w:styleId="723" w:customStyle="1">
    <w:name w:val="Heading 4"/>
    <w:basedOn w:val="716"/>
    <w:next w:val="716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4 Char"/>
    <w:basedOn w:val="717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 w:customStyle="1">
    <w:name w:val="Heading 5"/>
    <w:basedOn w:val="716"/>
    <w:next w:val="716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5 Char"/>
    <w:basedOn w:val="717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 w:customStyle="1">
    <w:name w:val="Heading 6"/>
    <w:basedOn w:val="716"/>
    <w:next w:val="716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6 Char"/>
    <w:basedOn w:val="717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 w:customStyle="1">
    <w:name w:val="Heading 7"/>
    <w:basedOn w:val="716"/>
    <w:next w:val="716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7 Char"/>
    <w:basedOn w:val="717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 w:customStyle="1">
    <w:name w:val="Heading 8"/>
    <w:basedOn w:val="716"/>
    <w:next w:val="716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8 Char"/>
    <w:basedOn w:val="717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 w:customStyle="1">
    <w:name w:val="Heading 9"/>
    <w:basedOn w:val="716"/>
    <w:next w:val="716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Heading 9 Char"/>
    <w:basedOn w:val="717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</w:style>
  <w:style w:type="paragraph" w:styleId="736">
    <w:name w:val="Title"/>
    <w:basedOn w:val="716"/>
    <w:next w:val="716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Название Знак"/>
    <w:basedOn w:val="717"/>
    <w:link w:val="736"/>
    <w:uiPriority w:val="10"/>
    <w:rPr>
      <w:sz w:val="48"/>
      <w:szCs w:val="48"/>
    </w:rPr>
  </w:style>
  <w:style w:type="paragraph" w:styleId="738">
    <w:name w:val="Subtitle"/>
    <w:basedOn w:val="716"/>
    <w:next w:val="716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basedOn w:val="717"/>
    <w:link w:val="738"/>
    <w:uiPriority w:val="11"/>
    <w:rPr>
      <w:sz w:val="24"/>
      <w:szCs w:val="24"/>
    </w:rPr>
  </w:style>
  <w:style w:type="paragraph" w:styleId="740">
    <w:name w:val="Quote"/>
    <w:basedOn w:val="716"/>
    <w:next w:val="716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16"/>
    <w:next w:val="716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Header Char"/>
    <w:basedOn w:val="717"/>
    <w:link w:val="912"/>
    <w:uiPriority w:val="99"/>
  </w:style>
  <w:style w:type="character" w:styleId="745" w:customStyle="1">
    <w:name w:val="Footer Char"/>
    <w:basedOn w:val="717"/>
    <w:link w:val="914"/>
    <w:uiPriority w:val="99"/>
  </w:style>
  <w:style w:type="paragraph" w:styleId="746" w:customStyle="1">
    <w:name w:val="Caption"/>
    <w:basedOn w:val="716"/>
    <w:next w:val="716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 w:customStyle="1">
    <w:name w:val="Caption Char"/>
    <w:basedOn w:val="717"/>
    <w:link w:val="746"/>
    <w:uiPriority w:val="35"/>
    <w:rPr>
      <w:b/>
      <w:bCs/>
      <w:color w:val="4f81bd" w:themeColor="accent1"/>
      <w:sz w:val="18"/>
      <w:szCs w:val="18"/>
    </w:rPr>
  </w:style>
  <w:style w:type="table" w:styleId="748" w:customStyle="1">
    <w:name w:val="Table Grid Light"/>
    <w:basedOn w:val="71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Plain Table 1"/>
    <w:basedOn w:val="71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2"/>
    <w:basedOn w:val="71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Plain Table 3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 w:customStyle="1">
    <w:name w:val="Plain Table 4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Plain Table 5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1 Light"/>
    <w:basedOn w:val="71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71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71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71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71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71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71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2"/>
    <w:basedOn w:val="71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71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71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71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71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71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71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"/>
    <w:basedOn w:val="71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71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71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71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71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71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71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4"/>
    <w:basedOn w:val="71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71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basedOn w:val="71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basedOn w:val="71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basedOn w:val="71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basedOn w:val="71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basedOn w:val="71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 w:customStyle="1">
    <w:name w:val="Grid Table 5 Dark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71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6 Colorful"/>
    <w:basedOn w:val="71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71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basedOn w:val="71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basedOn w:val="71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basedOn w:val="71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7 Colorful"/>
    <w:basedOn w:val="71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71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71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71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71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71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71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71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2"/>
    <w:basedOn w:val="71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71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71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71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71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71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71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 w:customStyle="1">
    <w:name w:val="List Table 3"/>
    <w:basedOn w:val="71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71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71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71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71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"/>
    <w:basedOn w:val="71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71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71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71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71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71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71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5 Dark"/>
    <w:basedOn w:val="71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71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71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71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71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6 Colorful"/>
    <w:basedOn w:val="71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71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basedOn w:val="71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basedOn w:val="71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basedOn w:val="71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basedOn w:val="71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basedOn w:val="71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 w:customStyle="1">
    <w:name w:val="List Table 7 Colorful"/>
    <w:basedOn w:val="71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71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71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71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71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71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71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basedOn w:val="71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basedOn w:val="71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basedOn w:val="71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71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basedOn w:val="71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basedOn w:val="71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basedOn w:val="71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basedOn w:val="71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basedOn w:val="71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 w:customStyle="1">
    <w:name w:val="Footnote Text Char"/>
    <w:link w:val="909"/>
    <w:uiPriority w:val="99"/>
    <w:rPr>
      <w:sz w:val="18"/>
    </w:rPr>
  </w:style>
  <w:style w:type="character" w:styleId="874" w:customStyle="1">
    <w:name w:val="Endnote Text Char"/>
    <w:link w:val="926"/>
    <w:uiPriority w:val="99"/>
    <w:rPr>
      <w:sz w:val="20"/>
    </w:rPr>
  </w:style>
  <w:style w:type="paragraph" w:styleId="875">
    <w:name w:val="toc 1"/>
    <w:basedOn w:val="716"/>
    <w:next w:val="716"/>
    <w:uiPriority w:val="39"/>
    <w:unhideWhenUsed/>
    <w:pPr>
      <w:spacing w:after="57"/>
    </w:pPr>
  </w:style>
  <w:style w:type="paragraph" w:styleId="876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77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78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79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80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81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82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83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6"/>
    <w:next w:val="716"/>
    <w:uiPriority w:val="99"/>
    <w:unhideWhenUsed/>
  </w:style>
  <w:style w:type="paragraph" w:styleId="886" w:customStyle="1">
    <w:name w:val="Heading 1"/>
    <w:basedOn w:val="716"/>
    <w:next w:val="716"/>
    <w:link w:val="889"/>
    <w:qFormat/>
    <w:pPr>
      <w:ind w:right="-113"/>
      <w:jc w:val="center"/>
      <w:keepNext/>
      <w:outlineLvl w:val="0"/>
    </w:pPr>
    <w:rPr>
      <w:b/>
      <w:sz w:val="24"/>
      <w:szCs w:val="24"/>
    </w:rPr>
  </w:style>
  <w:style w:type="paragraph" w:styleId="887" w:customStyle="1">
    <w:name w:val="Heading 2"/>
    <w:basedOn w:val="716"/>
    <w:next w:val="716"/>
    <w:link w:val="890"/>
    <w:qFormat/>
    <w:pPr>
      <w:keepNext/>
      <w:tabs>
        <w:tab w:val="left" w:pos="7371" w:leader="none"/>
      </w:tabs>
      <w:outlineLvl w:val="1"/>
    </w:pPr>
    <w:rPr>
      <w:szCs w:val="24"/>
    </w:rPr>
  </w:style>
  <w:style w:type="paragraph" w:styleId="888" w:customStyle="1">
    <w:name w:val="Heading 3"/>
    <w:basedOn w:val="716"/>
    <w:next w:val="716"/>
    <w:link w:val="904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889" w:customStyle="1">
    <w:name w:val="Заголовок 1 Знак"/>
    <w:basedOn w:val="717"/>
    <w:link w:val="886"/>
    <w:rPr>
      <w:b/>
      <w:sz w:val="24"/>
      <w:szCs w:val="24"/>
    </w:rPr>
  </w:style>
  <w:style w:type="character" w:styleId="890" w:customStyle="1">
    <w:name w:val="Заголовок 2 Знак"/>
    <w:basedOn w:val="717"/>
    <w:link w:val="887"/>
    <w:rPr>
      <w:sz w:val="28"/>
      <w:szCs w:val="24"/>
    </w:rPr>
  </w:style>
  <w:style w:type="paragraph" w:styleId="891" w:customStyle="1">
    <w:name w:val="Style7"/>
    <w:basedOn w:val="716"/>
    <w:pPr>
      <w:ind w:firstLine="1819"/>
      <w:spacing w:line="614" w:lineRule="exact"/>
      <w:widowControl w:val="off"/>
    </w:pPr>
    <w:rPr>
      <w:sz w:val="24"/>
      <w:szCs w:val="24"/>
    </w:rPr>
  </w:style>
  <w:style w:type="paragraph" w:styleId="892">
    <w:name w:val="Balloon Text"/>
    <w:basedOn w:val="716"/>
    <w:semiHidden/>
    <w:rPr>
      <w:rFonts w:ascii="Tahoma" w:hAnsi="Tahoma" w:cs="Tahoma"/>
      <w:sz w:val="16"/>
      <w:szCs w:val="16"/>
    </w:rPr>
  </w:style>
  <w:style w:type="paragraph" w:styleId="893" w:customStyle="1">
    <w:name w:val="Style8"/>
    <w:basedOn w:val="716"/>
    <w:pPr>
      <w:ind w:firstLine="706"/>
      <w:jc w:val="both"/>
      <w:spacing w:line="326" w:lineRule="exact"/>
      <w:widowControl w:val="off"/>
    </w:pPr>
    <w:rPr>
      <w:sz w:val="24"/>
      <w:szCs w:val="24"/>
    </w:rPr>
  </w:style>
  <w:style w:type="character" w:styleId="894" w:customStyle="1">
    <w:name w:val="Font Style15"/>
    <w:basedOn w:val="717"/>
    <w:rPr>
      <w:rFonts w:ascii="Times New Roman" w:hAnsi="Times New Roman" w:cs="Times New Roman"/>
      <w:sz w:val="26"/>
      <w:szCs w:val="26"/>
    </w:rPr>
  </w:style>
  <w:style w:type="paragraph" w:styleId="895">
    <w:name w:val="List Paragraph"/>
    <w:basedOn w:val="716"/>
    <w:uiPriority w:val="34"/>
    <w:qFormat/>
    <w:pPr>
      <w:contextualSpacing/>
      <w:ind w:left="720"/>
    </w:pPr>
  </w:style>
  <w:style w:type="paragraph" w:styleId="896" w:customStyle="1">
    <w:name w:val="Style2"/>
    <w:basedOn w:val="716"/>
    <w:uiPriority w:val="99"/>
    <w:pPr>
      <w:spacing w:line="307" w:lineRule="exact"/>
      <w:widowControl w:val="off"/>
    </w:pPr>
    <w:rPr>
      <w:rFonts w:eastAsiaTheme="minorEastAsia"/>
      <w:sz w:val="24"/>
      <w:szCs w:val="24"/>
    </w:rPr>
  </w:style>
  <w:style w:type="paragraph" w:styleId="897" w:customStyle="1">
    <w:name w:val="Style3"/>
    <w:basedOn w:val="716"/>
    <w:uiPriority w:val="99"/>
    <w:pPr>
      <w:ind w:firstLine="696"/>
      <w:jc w:val="both"/>
      <w:spacing w:line="307" w:lineRule="exact"/>
      <w:widowControl w:val="off"/>
    </w:pPr>
    <w:rPr>
      <w:rFonts w:eastAsiaTheme="minorEastAsia"/>
      <w:sz w:val="24"/>
      <w:szCs w:val="24"/>
    </w:rPr>
  </w:style>
  <w:style w:type="character" w:styleId="898" w:customStyle="1">
    <w:name w:val="Font Style12"/>
    <w:basedOn w:val="717"/>
    <w:uiPriority w:val="99"/>
    <w:rPr>
      <w:rFonts w:hint="default" w:ascii="Times New Roman" w:hAnsi="Times New Roman" w:cs="Times New Roman"/>
      <w:sz w:val="26"/>
      <w:szCs w:val="26"/>
    </w:rPr>
  </w:style>
  <w:style w:type="paragraph" w:styleId="899" w:customStyle="1">
    <w:name w:val="Style6"/>
    <w:basedOn w:val="716"/>
    <w:uiPriority w:val="99"/>
    <w:pPr>
      <w:ind w:firstLine="701"/>
      <w:jc w:val="both"/>
      <w:spacing w:line="317" w:lineRule="exact"/>
      <w:widowControl w:val="off"/>
    </w:pPr>
    <w:rPr>
      <w:rFonts w:eastAsiaTheme="minorEastAsia"/>
      <w:sz w:val="24"/>
      <w:szCs w:val="24"/>
    </w:rPr>
  </w:style>
  <w:style w:type="paragraph" w:styleId="900" w:customStyle="1">
    <w:name w:val="Style9"/>
    <w:basedOn w:val="716"/>
    <w:uiPriority w:val="99"/>
    <w:pPr>
      <w:ind w:firstLine="701"/>
      <w:spacing w:line="311" w:lineRule="exact"/>
      <w:widowControl w:val="off"/>
    </w:pPr>
    <w:rPr>
      <w:rFonts w:eastAsiaTheme="minorEastAsia"/>
      <w:sz w:val="24"/>
      <w:szCs w:val="24"/>
    </w:rPr>
  </w:style>
  <w:style w:type="character" w:styleId="901" w:customStyle="1">
    <w:name w:val="Font Style16"/>
    <w:basedOn w:val="717"/>
    <w:uiPriority w:val="99"/>
    <w:rPr>
      <w:rFonts w:ascii="Times New Roman" w:hAnsi="Times New Roman" w:cs="Times New Roman"/>
      <w:sz w:val="26"/>
      <w:szCs w:val="26"/>
    </w:rPr>
  </w:style>
  <w:style w:type="paragraph" w:styleId="902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</w:rPr>
  </w:style>
  <w:style w:type="character" w:styleId="903" w:customStyle="1">
    <w:name w:val="Font Style13"/>
    <w:basedOn w:val="717"/>
    <w:uiPriority w:val="99"/>
    <w:rPr>
      <w:rFonts w:ascii="Times New Roman" w:hAnsi="Times New Roman" w:cs="Times New Roman"/>
      <w:sz w:val="18"/>
      <w:szCs w:val="18"/>
    </w:rPr>
  </w:style>
  <w:style w:type="character" w:styleId="904" w:customStyle="1">
    <w:name w:val="Заголовок 3 Знак"/>
    <w:basedOn w:val="717"/>
    <w:link w:val="888"/>
    <w:semiHidden/>
    <w:rPr>
      <w:rFonts w:ascii="Cambria" w:hAnsi="Cambria"/>
      <w:b/>
      <w:bCs/>
      <w:sz w:val="26"/>
      <w:szCs w:val="26"/>
    </w:rPr>
  </w:style>
  <w:style w:type="paragraph" w:styleId="905">
    <w:name w:val="Body Text Indent"/>
    <w:basedOn w:val="716"/>
    <w:link w:val="906"/>
    <w:pPr>
      <w:ind w:firstLine="708"/>
      <w:jc w:val="both"/>
    </w:pPr>
  </w:style>
  <w:style w:type="character" w:styleId="906" w:customStyle="1">
    <w:name w:val="Основной текст с отступом Знак"/>
    <w:basedOn w:val="717"/>
    <w:link w:val="905"/>
    <w:rPr>
      <w:sz w:val="28"/>
      <w:szCs w:val="28"/>
    </w:rPr>
  </w:style>
  <w:style w:type="paragraph" w:styleId="907">
    <w:name w:val="Body Text"/>
    <w:basedOn w:val="716"/>
    <w:link w:val="908"/>
    <w:pPr>
      <w:spacing w:after="120"/>
    </w:pPr>
    <w:rPr>
      <w:sz w:val="24"/>
      <w:szCs w:val="24"/>
    </w:rPr>
  </w:style>
  <w:style w:type="character" w:styleId="908" w:customStyle="1">
    <w:name w:val="Основной текст Знак"/>
    <w:basedOn w:val="717"/>
    <w:link w:val="907"/>
    <w:rPr>
      <w:sz w:val="24"/>
      <w:szCs w:val="24"/>
    </w:rPr>
  </w:style>
  <w:style w:type="paragraph" w:styleId="909">
    <w:name w:val="footnote text"/>
    <w:basedOn w:val="716"/>
    <w:link w:val="910"/>
    <w:uiPriority w:val="99"/>
    <w:rPr>
      <w:color w:val="000000"/>
      <w:sz w:val="20"/>
      <w:szCs w:val="20"/>
    </w:rPr>
  </w:style>
  <w:style w:type="character" w:styleId="910" w:customStyle="1">
    <w:name w:val="Текст сноски Знак"/>
    <w:basedOn w:val="717"/>
    <w:link w:val="909"/>
    <w:uiPriority w:val="99"/>
    <w:rPr>
      <w:color w:val="000000"/>
    </w:rPr>
  </w:style>
  <w:style w:type="character" w:styleId="911">
    <w:name w:val="footnote reference"/>
    <w:basedOn w:val="717"/>
    <w:uiPriority w:val="99"/>
    <w:rPr>
      <w:vertAlign w:val="superscript"/>
    </w:rPr>
  </w:style>
  <w:style w:type="paragraph" w:styleId="912" w:customStyle="1">
    <w:name w:val="Header"/>
    <w:basedOn w:val="716"/>
    <w:link w:val="913"/>
    <w:pPr>
      <w:tabs>
        <w:tab w:val="center" w:pos="4677" w:leader="none"/>
        <w:tab w:val="right" w:pos="9355" w:leader="none"/>
      </w:tabs>
    </w:pPr>
    <w:rPr>
      <w:color w:val="000000"/>
      <w:szCs w:val="31"/>
    </w:rPr>
  </w:style>
  <w:style w:type="character" w:styleId="913" w:customStyle="1">
    <w:name w:val="Верхний колонтитул Знак"/>
    <w:basedOn w:val="717"/>
    <w:link w:val="912"/>
    <w:rPr>
      <w:color w:val="000000"/>
      <w:sz w:val="28"/>
      <w:szCs w:val="31"/>
    </w:rPr>
  </w:style>
  <w:style w:type="paragraph" w:styleId="914" w:customStyle="1">
    <w:name w:val="Footer"/>
    <w:basedOn w:val="716"/>
    <w:link w:val="915"/>
    <w:pPr>
      <w:tabs>
        <w:tab w:val="center" w:pos="4677" w:leader="none"/>
        <w:tab w:val="right" w:pos="9355" w:leader="none"/>
      </w:tabs>
    </w:pPr>
    <w:rPr>
      <w:color w:val="000000"/>
      <w:szCs w:val="31"/>
    </w:rPr>
  </w:style>
  <w:style w:type="character" w:styleId="915" w:customStyle="1">
    <w:name w:val="Нижний колонтитул Знак"/>
    <w:basedOn w:val="717"/>
    <w:link w:val="914"/>
    <w:rPr>
      <w:color w:val="000000"/>
      <w:sz w:val="28"/>
      <w:szCs w:val="31"/>
    </w:rPr>
  </w:style>
  <w:style w:type="paragraph" w:styleId="916">
    <w:name w:val="Body Text 2"/>
    <w:basedOn w:val="716"/>
    <w:link w:val="917"/>
    <w:rPr>
      <w:color w:val="000000"/>
      <w:sz w:val="20"/>
      <w:szCs w:val="31"/>
    </w:rPr>
  </w:style>
  <w:style w:type="character" w:styleId="917" w:customStyle="1">
    <w:name w:val="Основной текст 2 Знак"/>
    <w:basedOn w:val="717"/>
    <w:link w:val="916"/>
    <w:rPr>
      <w:color w:val="000000"/>
      <w:szCs w:val="31"/>
    </w:rPr>
  </w:style>
  <w:style w:type="character" w:styleId="918">
    <w:name w:val="page number"/>
    <w:basedOn w:val="717"/>
  </w:style>
  <w:style w:type="paragraph" w:styleId="919" w:customStyle="1">
    <w:name w:val="Заголовок для положений"/>
    <w:basedOn w:val="716"/>
    <w:qFormat/>
    <w:pPr>
      <w:ind w:left="360" w:hanging="360"/>
      <w:jc w:val="center"/>
      <w:spacing w:before="240" w:after="240"/>
    </w:pPr>
    <w:rPr>
      <w:rFonts w:eastAsia="Calibri"/>
      <w:b/>
      <w:lang w:eastAsia="en-US"/>
    </w:rPr>
  </w:style>
  <w:style w:type="paragraph" w:styleId="920" w:customStyle="1">
    <w:name w:val="Список 1.1."/>
    <w:basedOn w:val="716"/>
    <w:link w:val="921"/>
    <w:qFormat/>
    <w:pPr>
      <w:ind w:left="171" w:firstLine="680"/>
      <w:jc w:val="both"/>
    </w:pPr>
    <w:rPr>
      <w:rFonts w:eastAsia="Calibri"/>
      <w:lang w:eastAsia="en-US"/>
    </w:rPr>
  </w:style>
  <w:style w:type="character" w:styleId="921" w:customStyle="1">
    <w:name w:val="Список 1.1. Знак"/>
    <w:basedOn w:val="717"/>
    <w:link w:val="920"/>
    <w:rPr>
      <w:rFonts w:eastAsia="Calibri"/>
      <w:sz w:val="28"/>
      <w:szCs w:val="28"/>
      <w:lang w:eastAsia="en-US"/>
    </w:rPr>
  </w:style>
  <w:style w:type="paragraph" w:styleId="922" w:customStyle="1">
    <w:name w:val="Стиль1.1.1"/>
    <w:basedOn w:val="716"/>
    <w:qFormat/>
    <w:pPr>
      <w:numPr>
        <w:ilvl w:val="2"/>
        <w:numId w:val="4"/>
      </w:numPr>
      <w:jc w:val="both"/>
    </w:pPr>
    <w:rPr>
      <w:rFonts w:eastAsia="Calibri"/>
      <w:lang w:eastAsia="en-US"/>
    </w:rPr>
  </w:style>
  <w:style w:type="character" w:styleId="923">
    <w:name w:val="Hyperlink"/>
    <w:basedOn w:val="717"/>
    <w:rPr>
      <w:color w:val="0000ff"/>
      <w:u w:val="single"/>
    </w:rPr>
  </w:style>
  <w:style w:type="paragraph" w:styleId="924" w:customStyle="1">
    <w:name w:val="xl67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333399"/>
      <w:sz w:val="32"/>
      <w:szCs w:val="32"/>
    </w:rPr>
  </w:style>
  <w:style w:type="paragraph" w:styleId="925" w:customStyle="1">
    <w:name w:val="ConsPlusTitle"/>
    <w:uiPriority w:val="99"/>
    <w:rPr>
      <w:rFonts w:ascii="Arial" w:hAnsi="Arial" w:cs="Arial"/>
      <w:b/>
      <w:bCs/>
      <w:sz w:val="26"/>
      <w:szCs w:val="26"/>
    </w:rPr>
  </w:style>
  <w:style w:type="paragraph" w:styleId="926">
    <w:name w:val="endnote text"/>
    <w:basedOn w:val="716"/>
    <w:link w:val="927"/>
    <w:rPr>
      <w:sz w:val="20"/>
      <w:szCs w:val="20"/>
    </w:rPr>
  </w:style>
  <w:style w:type="character" w:styleId="927" w:customStyle="1">
    <w:name w:val="Текст концевой сноски Знак"/>
    <w:basedOn w:val="717"/>
    <w:link w:val="926"/>
  </w:style>
  <w:style w:type="character" w:styleId="928">
    <w:name w:val="endnote reference"/>
    <w:basedOn w:val="717"/>
    <w:rPr>
      <w:vertAlign w:val="superscript"/>
    </w:rPr>
  </w:style>
  <w:style w:type="character" w:styleId="929">
    <w:name w:val="annotation reference"/>
    <w:basedOn w:val="717"/>
    <w:rPr>
      <w:sz w:val="16"/>
      <w:szCs w:val="16"/>
    </w:rPr>
  </w:style>
  <w:style w:type="paragraph" w:styleId="930">
    <w:name w:val="annotation text"/>
    <w:basedOn w:val="716"/>
    <w:link w:val="931"/>
    <w:rPr>
      <w:sz w:val="20"/>
      <w:szCs w:val="20"/>
    </w:rPr>
  </w:style>
  <w:style w:type="character" w:styleId="931" w:customStyle="1">
    <w:name w:val="Текст примечания Знак"/>
    <w:basedOn w:val="717"/>
    <w:link w:val="930"/>
  </w:style>
  <w:style w:type="paragraph" w:styleId="932">
    <w:name w:val="annotation subject"/>
    <w:basedOn w:val="930"/>
    <w:next w:val="930"/>
    <w:link w:val="933"/>
    <w:rPr>
      <w:b/>
      <w:bCs/>
    </w:rPr>
  </w:style>
  <w:style w:type="character" w:styleId="933" w:customStyle="1">
    <w:name w:val="Тема примечания Знак"/>
    <w:basedOn w:val="931"/>
    <w:link w:val="932"/>
    <w:rPr>
      <w:b/>
      <w:bCs/>
    </w:rPr>
  </w:style>
  <w:style w:type="table" w:styleId="934">
    <w:name w:val="Table Grid"/>
    <w:basedOn w:val="718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5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36" w:customStyle="1">
    <w:name w:val="mb_0"/>
    <w:basedOn w:val="7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55F0-6BE3-4999-8D38-EC6CE1E8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Росатом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pronichev_sa</cp:lastModifiedBy>
  <cp:revision>17</cp:revision>
  <dcterms:created xsi:type="dcterms:W3CDTF">2024-12-16T09:59:00Z</dcterms:created>
  <dcterms:modified xsi:type="dcterms:W3CDTF">2026-06-05T07:17:24Z</dcterms:modified>
</cp:coreProperties>
</file>